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jc w:val="center"/>
      </w:pPr>
      <w:r>
        <w:rPr/>
        <w:drawing>
          <wp:inline distT="0" distB="0" distL="0" distR="0">
            <wp:extent cx="5943600" cy="6896100"/>
            <wp:docPr id="13" name="rId5.jpg"/>
            <a:graphic>
              <a:graphicData uri="http://schemas.openxmlformats.org/drawingml/2006/picture">
                <pic:pic>
                  <pic:nvPicPr>
                    <pic:cNvPr id="13" name="rId5.jpg"/>
                    <pic:cNvPicPr/>
                  </pic:nvPicPr>
                  <pic:blipFill>
                    <a:blip r:embed="rId13"/>
                  </pic:blipFill>
                  <pic:spPr>
                    <a:xfrm>
                      <a:off x="0" y="0"/>
                      <a:ext cx="59436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/>
      <w:r>
        <w:rPr/>
        <w:drawing>
          <wp:inline distT="0" distB="0" distL="0" distR="0">
            <wp:extent cx="5715000" cy="4857750"/>
            <wp:docPr id="19" name="rId6.jpg"/>
            <a:graphic>
              <a:graphicData uri="http://schemas.openxmlformats.org/drawingml/2006/picture">
                <pic:pic>
                  <pic:nvPicPr>
                    <pic:cNvPr id="19" name="rId6.jpg"/>
                    <pic:cNvPicPr/>
                  </pic:nvPicPr>
                  <pic:blipFill>
                    <a:blip r:embed="rId19"/>
                  </pic:blipFill>
                  <pic:spPr>
                    <a:xfrm>
                      <a:off x="0" y="0"/>
                      <a:ext cx="5715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  <w:r>
        <w:rPr>
          <w:b/>
        </w:rPr>
        <w:t xml:space="preserve">links:</w:t>
      </w:r>
    </w:p>
    <w:p>
      <w:pPr/>
    </w:p>
    <w:p>
      <w:pPr/>
      <w:r>
        <w:rPr>
          <w:b/>
        </w:rPr>
        <w:t xml:space="preserve">[osel.cz]</w:t>
      </w:r>
    </w:p>
    <w:p>
      <w:pPr>
        <w:spacing w:line="376" w:lineRule="auto"/>
      </w:pPr>
      <w:r>
        <w:rPr/>
        <w:t xml:space="preserve">Genetika : </w:t>
      </w:r>
      <w:hyperlink r:id="rId28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Záhadné „koncovky“ v dědičné informaci</w:t>
        </w:r>
      </w:hyperlink>
    </w:p>
    <w:p>
      <w:pPr>
        <w:spacing w:line="376" w:lineRule="auto"/>
      </w:pPr>
      <w:r>
        <w:rPr/>
        <w:t xml:space="preserve">Zdraví : </w:t>
      </w:r>
      <w:hyperlink r:id="rId32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Stres nám zkracuje telomery a buňky pak rychleji stárnou</w:t>
        </w:r>
      </w:hyperlink>
    </w:p>
    <w:p>
      <w:pPr>
        <w:spacing w:line="376" w:lineRule="auto"/>
      </w:pPr>
      <w:r>
        <w:rPr/>
        <w:t xml:space="preserve">Zdraví : </w:t>
      </w:r>
      <w:hyperlink r:id="rId36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„Měřte telomery!“ radí americký embryolog</w:t>
        </w:r>
      </w:hyperlink>
    </w:p>
    <w:p>
      <w:pPr>
        <w:spacing w:line="376" w:lineRule="auto"/>
      </w:pPr>
      <w:r>
        <w:rPr/>
        <w:t xml:space="preserve">Ovce, kozy : </w:t>
      </w:r>
      <w:hyperlink r:id="rId40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Matilda uhynula</w:t>
        </w:r>
      </w:hyperlink>
    </w:p>
    <w:p>
      <w:pPr>
        <w:spacing w:line="376" w:lineRule="auto"/>
      </w:pPr>
      <w:r>
        <w:rPr/>
        <w:t xml:space="preserve">Behavioralni vědy &gt; Ekonomie : </w:t>
      </w:r>
      <w:hyperlink r:id="rId44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Lenoši žijí déle</w:t>
        </w:r>
      </w:hyperlink>
    </w:p>
    <w:p>
      <w:pPr>
        <w:spacing w:line="376" w:lineRule="auto"/>
      </w:pPr>
      <w:r>
        <w:rPr/>
        <w:t xml:space="preserve">Genetika : </w:t>
      </w:r>
      <w:hyperlink r:id="rId48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Radostné stáří a vadné telomery nejdou dohromady</w:t>
        </w:r>
      </w:hyperlink>
    </w:p>
    <w:p>
      <w:pPr>
        <w:spacing w:line="376" w:lineRule="auto"/>
      </w:pPr>
      <w:r>
        <w:rPr/>
        <w:t xml:space="preserve">Genetika : </w:t>
      </w:r>
      <w:hyperlink r:id="rId52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Částečné omlazení</w:t>
        </w:r>
      </w:hyperlink>
    </w:p>
    <w:p>
      <w:pPr>
        <w:spacing w:line="376" w:lineRule="auto"/>
      </w:pPr>
      <w:r>
        <w:rPr/>
        <w:t xml:space="preserve">Zdraví : </w:t>
      </w:r>
      <w:hyperlink r:id="rId56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Dospělé kmenové buňky způsobují rakovinu</w:t>
        </w:r>
      </w:hyperlink>
    </w:p>
    <w:p>
      <w:pPr>
        <w:spacing w:line="376" w:lineRule="auto"/>
      </w:pPr>
      <w:r>
        <w:rPr/>
        <w:t xml:space="preserve">Zdraví : </w:t>
      </w:r>
      <w:hyperlink r:id="rId60">
        <w:r>
          <w:rPr>
            <w:rFonts w:ascii="Verdana" w:cs="Verdana" w:hAnsi="Verdana"/>
            <w:b/>
            <w:sz w:val="18"/>
            <w:u w:val="single"/>
            <w:color w:val="0000ff"/>
          </w:rPr>
          <w:t xml:space="preserve">Další tajemství nesmrtelnosti bylo odhaleno</w:t>
        </w:r>
      </w:hyperlink>
    </w:p>
    <w:p>
      <w:pPr/>
    </w:p>
    <w:p>
      <w:pPr/>
      <w:hyperlink r:id="rId64">
        <w:r>
          <w:rPr>
            <w:u w:val="single"/>
            <w:color w:val="0000ff"/>
          </w:rPr>
          <w:t xml:space="preserve">https://www.google.sk/search?q=chromozom+telomera&amp;newwindow=1&amp;rlz=1C1OPRB_enSK530SK530&amp;espv=2&amp;source=lnms&amp;sa=X&amp;ei=URmxU-uWEYeM7Abf7oGQCQ&amp;ved=0CAcQ_AUoAA&amp;biw=1365&amp;bih=816&amp;dpr=0.75</w:t>
        </w:r>
      </w:hyperlink>
    </w:p>
    <w:p>
      <w:pPr/>
    </w:p>
    <w:p>
      <w:pPr/>
      <w:r>
        <w:rPr/>
        <w:t xml:space="preserve">……………………………………………………………………………………………………………….</w:t>
      </w:r>
    </w:p>
    <w:p>
      <w:pPr/>
      <w:r>
        <w:rPr/>
        <w:t xml:space="preserve">
</w:t>
      </w:r>
      <w:hyperlink r:id="rId71">
        <w:r>
          <w:rPr>
            <w:u w:val="single"/>
            <w:color w:val="0000ff"/>
          </w:rPr>
          <w:t xml:space="preserve">http://www.ideje.cz/cz/clanky/objevena-teorie-evoluce-centromer-a-telomer</w:t>
        </w:r>
      </w:hyperlink>
      <w:r>
        <w:rPr/>
        <w:t xml:space="preserve"> </w:t>
      </w:r>
    </w:p>
    <w:p>
      <w:pPr/>
      <w:hyperlink r:id="rId75">
        <w:r>
          <w:rPr>
            <w:u w:val="single"/>
            <w:color w:val="0000ff"/>
          </w:rPr>
          <w:t xml:space="preserve">http://www.mia.sk/vseobecne_inf/denna_tlac/m_clanok.php?hop=4&amp;dbr=5997</w:t>
        </w:r>
      </w:hyperlink>
      <w:r>
        <w:rPr/>
        <w:t xml:space="preserve">
</w:t>
      </w:r>
      <w:hyperlink r:id="rId78">
        <w:r>
          <w:rPr>
            <w:u w:val="single"/>
            <w:color w:val="0000ff"/>
          </w:rPr>
          <w:t xml:space="preserve">http://www.lidovky.cz/prvni-letosni-nobelova-cena-je-za-popis-starnuti-bunek-p18-/veda.aspx?c=A091005_120619_ln_veda_mal</w:t>
        </w:r>
      </w:hyperlink>
    </w:p>
    <w:p>
      <w:pPr/>
      <w:hyperlink r:id="rId81">
        <w:r>
          <w:rPr>
            <w:u w:val="single"/>
            <w:color w:val="0000ff"/>
          </w:rPr>
          <w:t xml:space="preserve">http://embor.embopress.org/content/8/11/1003</w:t>
        </w:r>
      </w:hyperlink>
    </w:p>
    <w:p>
      <w:pPr/>
    </w:p>
    <w:p>
      <w:pPr/>
    </w:p>
    <w:p>
      <w:pPr/>
      <w:hyperlink r:id="rId86">
        <w:r>
          <w:rPr>
            <w:u w:val="single"/>
            <w:color w:val="0000ff"/>
          </w:rPr>
          <w:t xml:space="preserve">https://www.google.sk/search?newwindow=1&amp;rlz=1C1OPRB_enSK530SK530&amp;es_sm=122&amp;q=Kozinec+blanit%C3%BD+%28Astragalus+membranaceus%29&amp;oq=Kozinec+blanit%C3%BD+%28Astragalus+membranaceus%29&amp;gs_l=serp.3...502498.508496.0.509227.5.5.0.0.0.0.78.340.5.5.0....0...1c.1.48.serp..5.0.0.8d7jkyKvyRY</w:t>
        </w:r>
      </w:hyperlink>
    </w:p>
    <w:p>
      <w:pPr/>
    </w:p>
    <w:p>
      <w:pPr/>
      <w:r>
        <w:rPr/>
        <w:drawing>
          <wp:inline distT="0" distB="0" distL="0" distR="0">
            <wp:extent cx="2362200" cy="1838325"/>
            <wp:docPr id="91" name="rId22.png"/>
            <a:graphic>
              <a:graphicData uri="http://schemas.openxmlformats.org/drawingml/2006/picture">
                <pic:pic>
                  <pic:nvPicPr>
                    <pic:cNvPr id="91" name="rId22.png"/>
                    <pic:cNvPicPr/>
                  </pic:nvPicPr>
                  <pic:blipFill>
                    <a:blip r:embed="rId91"/>
                  </pic:blipFill>
                  <pic:spPr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2240" w:h="15840" w:orient="portrait"/>
      <w:pgMar w:top="1440" w:left="1440" w:right="1440" w:bottom="144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Liberation Sans" w:cs="Liberation Sans" w:hAnsi="Liberation Sans"/>
    </w:rPr>
  </w:style>
  <w:style w:type="paragraph" w:styleId="Dashed List">
    <w:name w:val="Dashed List"/>
    <w:pPr>
      <w:ind w:hanging="432"/>
      <w:ind w:left="720"/>
    </w:pPr>
    <w:rPr/>
  </w:style>
  <w:style w:type="paragraph" w:styleId="Diamond List">
    <w:name w:val="Diamond List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pPr>
      <w:ind w:hanging="432"/>
      <w:ind w:left="720"/>
    </w:pPr>
    <w:rPr/>
  </w:style>
  <w:style w:type="paragraph"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Liberation Sans" w:cs="Liberation Sans" w:hAnsi="Liberation Sans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Liberation Sans" w:cs="Liberation Sans" w:hAnsi="Liberation Sans"/>
    </w:rPr>
  </w:style>
  <w:style w:type="paragraph"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rt List">
    <w:name w:val="Heart List"/>
    <w:pPr>
      <w:ind w:hanging="432"/>
      <w:ind w:left="720"/>
    </w:pPr>
    <w:rPr/>
  </w:style>
  <w:style w:type="paragraph" w:styleId="Implies List">
    <w:name w:val="Implies List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docDefaults>
    <w:pPrDefault>
      <w:pPr>
        <w:jc w:val="left"/>
        <w:ind w:firstLine="0"/>
        <w:spacing w:after="0"/>
        <w:spacing w:before="0"/>
        <w:spacing w:line="276" w:lineRule="auto"/>
      </w:pPr>
    </w:pPrDefault>
    <w:rPrDefault>
      <w:rPr>
        <w:sz w:val="22"/>
        <w:rFonts w:ascii="Arial" w:cs="Arial" w:hAnsi="Arial"/>
        <w:color w:val="000000"/>
      </w:rPr>
    </w:rPrDefault>
  </w:docDefaults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r List">
    <w:name w:val="Star List"/>
    <w:pPr>
      <w:ind w:hanging="432"/>
      <w:ind w:left="720"/>
    </w:pPr>
    <w:rPr/>
  </w:style>
  <w:style w:type="paragraph" w:styleId="Table Normal">
    <w:name w:val="Table Normal"/>
    <w:basedOn w:val="Normal"/>
    <w:pPr/>
    <w:rPr/>
  </w:style>
  <w:style w:type="paragraph" w:styleId="Tick List">
    <w:name w:val="Tick List"/>
    <w:pPr>
      <w:ind w:hanging="432"/>
      <w:ind w:left="720"/>
    </w:pPr>
    <w:rPr/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normal">
    <w:name w:val="normal"/>
    <w:basedOn w:val="Normal"/>
    <w:pPr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13" Type="http://schemas.openxmlformats.org/officeDocument/2006/relationships/image" Target="media/rId5.jpg"/><Relationship Id="rId19" Type="http://schemas.openxmlformats.org/officeDocument/2006/relationships/image" Target="media/rId6.jpg"/><Relationship Id="rId28" Type="http://schemas.openxmlformats.org/officeDocument/2006/relationships/hyperlink" Target="http://www.osel.cz/index.php?obsah=6&clanek=3039" TargetMode="External"/><Relationship Id="rId32" Type="http://schemas.openxmlformats.org/officeDocument/2006/relationships/hyperlink" Target="http://www.osel.cz/index.php?obsah=6&clanek=1036" TargetMode="External"/><Relationship Id="rId36" Type="http://schemas.openxmlformats.org/officeDocument/2006/relationships/hyperlink" Target="http://www.osel.cz/index.php?obsah=6&clanek=429" TargetMode="External"/><Relationship Id="rId40" Type="http://schemas.openxmlformats.org/officeDocument/2006/relationships/hyperlink" Target="http://www.osel.cz/index.php?obsah=6&clanek=225" TargetMode="External"/><Relationship Id="rId44" Type="http://schemas.openxmlformats.org/officeDocument/2006/relationships/hyperlink" Target="http://www.osel.cz/index.php?obsah=6&clanek=5879" TargetMode="External"/><Relationship Id="rId48" Type="http://schemas.openxmlformats.org/officeDocument/2006/relationships/hyperlink" Target="http://www.osel.cz/index.php?obsah=6&clanek=5550" TargetMode="External"/><Relationship Id="rId52" Type="http://schemas.openxmlformats.org/officeDocument/2006/relationships/hyperlink" Target="http://www.osel.cz/index.php?obsah=6&clanek=5408" TargetMode="External"/><Relationship Id="rId56" Type="http://schemas.openxmlformats.org/officeDocument/2006/relationships/hyperlink" Target="http://www.osel.cz/index.php?obsah=6&clanek=1285" TargetMode="External"/><Relationship Id="rId60" Type="http://schemas.openxmlformats.org/officeDocument/2006/relationships/hyperlink" Target="http://www.osel.cz/index.php?obsah=6&clanek=735" TargetMode="External"/><Relationship Id="rId64" Type="http://schemas.openxmlformats.org/officeDocument/2006/relationships/hyperlink" Target="https://www.google.sk/search?q=chromozom+telomera&newwindow=1&rlz=1C1OPRB_enSK530SK530&espv=2&source=lnms&sa=X&ei=URmxU-uWEYeM7Abf7oGQCQ&ved=0CAcQ_AUoAA&biw=1365&bih=816&dpr=0.75" TargetMode="External"/><Relationship Id="rId71" Type="http://schemas.openxmlformats.org/officeDocument/2006/relationships/hyperlink" Target="http://www.ideje.cz/cz/clanky/objevena-teorie-evoluce-centromer-a-telomer" TargetMode="External"/><Relationship Id="rId75" Type="http://schemas.openxmlformats.org/officeDocument/2006/relationships/hyperlink" Target="http://www.mia.sk/vseobecne_inf/denna_tlac/m_clanok.php?hop=4&dbr=5997" TargetMode="External"/><Relationship Id="rId78" Type="http://schemas.openxmlformats.org/officeDocument/2006/relationships/hyperlink" Target="http://www.lidovky.cz/prvni-letosni-nobelova-cena-je-za-popis-starnuti-bunek-p18-/veda.aspx?c=A091005_120619_ln_veda_mal" TargetMode="External"/><Relationship Id="rId81" Type="http://schemas.openxmlformats.org/officeDocument/2006/relationships/hyperlink" Target="http://embor.embopress.org/content/8/11/1003" TargetMode="External"/><Relationship Id="rId86" Type="http://schemas.openxmlformats.org/officeDocument/2006/relationships/hyperlink" Target="https://www.google.sk/search?newwindow=1&rlz=1C1OPRB_enSK530SK530&es_sm=122&q=Kozinec+blanit&#253;+(Astragalus+membranaceus)&oq=Kozinec+blanit&#253;+(Astragalus+membranaceus)&gs_l=serp.3...502498.508496.0.509227.5.5.0.0.0.0.78.340.5.5.0....0...1c.1.48.serp..5.0.0.8d7jkyKvyRY" TargetMode="External"/><Relationship Id="rId91" Type="http://schemas.openxmlformats.org/officeDocument/2006/relationships/image" Target="media/rId22.png"/></Relationships>
</file>